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4"/>
        <w:gridCol w:w="1332"/>
        <w:gridCol w:w="3739"/>
        <w:gridCol w:w="3236"/>
      </w:tblGrid>
      <w:tr w:rsidR="00490374" w:rsidRPr="00EB5DC1" w14:paraId="46BE8FFA" w14:textId="77777777" w:rsidTr="008B3B6A">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464"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739"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36"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8B3B6A" w:rsidRPr="00EB5DC1" w14:paraId="72C09958" w14:textId="77777777" w:rsidTr="008B3B6A">
        <w:tc>
          <w:tcPr>
            <w:tcW w:w="1177" w:type="dxa"/>
            <w:vAlign w:val="center"/>
          </w:tcPr>
          <w:p w14:paraId="4297BC8F" w14:textId="22C9EEBC" w:rsidR="008B3B6A" w:rsidRPr="00EB5DC1" w:rsidRDefault="008B3B6A" w:rsidP="008B3B6A">
            <w:pPr>
              <w:jc w:val="center"/>
              <w:rPr>
                <w:rFonts w:ascii="Arial" w:hAnsi="Arial" w:cs="Arial"/>
                <w:sz w:val="24"/>
                <w:szCs w:val="24"/>
              </w:rPr>
            </w:pPr>
            <w:r w:rsidRPr="00EB5DC1">
              <w:rPr>
                <w:rFonts w:ascii="Arial" w:hAnsi="Arial" w:cs="Arial"/>
                <w:sz w:val="24"/>
                <w:szCs w:val="24"/>
              </w:rPr>
              <w:t>1.2</w:t>
            </w:r>
          </w:p>
        </w:tc>
        <w:tc>
          <w:tcPr>
            <w:tcW w:w="4464" w:type="dxa"/>
            <w:vAlign w:val="center"/>
          </w:tcPr>
          <w:p w14:paraId="6337877E" w14:textId="77777777" w:rsidR="008B3B6A" w:rsidRPr="00EB5DC1" w:rsidRDefault="008B3B6A" w:rsidP="008B3B6A">
            <w:pPr>
              <w:pStyle w:val="NoSpacing"/>
              <w:numPr>
                <w:ilvl w:val="0"/>
                <w:numId w:val="0"/>
              </w:numPr>
              <w:spacing w:after="120"/>
            </w:pPr>
            <w:r w:rsidRPr="00EB5DC1">
              <w:t>A complaint must be defined as:</w:t>
            </w:r>
            <w:bookmarkStart w:id="0" w:name="_Hlk108509032"/>
          </w:p>
          <w:p w14:paraId="6455CDCE" w14:textId="77777777" w:rsidR="008B3B6A" w:rsidRPr="00EB5DC1" w:rsidRDefault="008B3B6A" w:rsidP="008B3B6A">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8B3B6A" w:rsidRPr="00EB5DC1" w:rsidRDefault="008B3B6A" w:rsidP="008B3B6A">
            <w:pPr>
              <w:rPr>
                <w:rFonts w:ascii="Arial" w:hAnsi="Arial" w:cs="Arial"/>
                <w:sz w:val="24"/>
                <w:szCs w:val="24"/>
              </w:rPr>
            </w:pPr>
          </w:p>
        </w:tc>
        <w:tc>
          <w:tcPr>
            <w:tcW w:w="1332" w:type="dxa"/>
          </w:tcPr>
          <w:p w14:paraId="1E03B5FB" w14:textId="74276B37" w:rsidR="008B3B6A" w:rsidRPr="00EB5DC1" w:rsidRDefault="008B3B6A" w:rsidP="008B3B6A">
            <w:pPr>
              <w:jc w:val="center"/>
              <w:rPr>
                <w:rFonts w:ascii="Arial" w:hAnsi="Arial" w:cs="Arial"/>
                <w:sz w:val="24"/>
                <w:szCs w:val="24"/>
              </w:rPr>
            </w:pPr>
            <w:r w:rsidRPr="00074F1C">
              <w:t>Yes</w:t>
            </w:r>
          </w:p>
        </w:tc>
        <w:tc>
          <w:tcPr>
            <w:tcW w:w="3739" w:type="dxa"/>
            <w:vAlign w:val="center"/>
          </w:tcPr>
          <w:p w14:paraId="0F6932B5" w14:textId="29B6F132" w:rsidR="008B3B6A" w:rsidRPr="00EB5DC1" w:rsidRDefault="008B3B6A" w:rsidP="008B3B6A">
            <w:pPr>
              <w:jc w:val="center"/>
              <w:rPr>
                <w:rFonts w:ascii="Arial" w:hAnsi="Arial" w:cs="Arial"/>
                <w:sz w:val="24"/>
                <w:szCs w:val="24"/>
              </w:rPr>
            </w:pPr>
            <w:r w:rsidRPr="008B3B6A">
              <w:rPr>
                <w:rFonts w:ascii="Arial" w:hAnsi="Arial" w:cs="Arial"/>
                <w:sz w:val="24"/>
                <w:szCs w:val="24"/>
              </w:rPr>
              <w:t>See policy.</w:t>
            </w:r>
          </w:p>
        </w:tc>
        <w:tc>
          <w:tcPr>
            <w:tcW w:w="3236" w:type="dxa"/>
            <w:vAlign w:val="center"/>
          </w:tcPr>
          <w:p w14:paraId="51CAF908" w14:textId="77777777" w:rsidR="008B3B6A" w:rsidRPr="00EB5DC1" w:rsidRDefault="008B3B6A" w:rsidP="008B3B6A">
            <w:pPr>
              <w:jc w:val="center"/>
              <w:rPr>
                <w:rFonts w:ascii="Arial" w:hAnsi="Arial" w:cs="Arial"/>
                <w:sz w:val="24"/>
                <w:szCs w:val="24"/>
              </w:rPr>
            </w:pPr>
          </w:p>
        </w:tc>
      </w:tr>
      <w:tr w:rsidR="008B3B6A" w:rsidRPr="00EB5DC1" w14:paraId="0B332C87" w14:textId="77777777" w:rsidTr="008B3B6A">
        <w:tc>
          <w:tcPr>
            <w:tcW w:w="1177" w:type="dxa"/>
            <w:vAlign w:val="center"/>
          </w:tcPr>
          <w:p w14:paraId="5F720BCA" w14:textId="2FAE55F0" w:rsidR="008B3B6A" w:rsidRPr="00EB5DC1" w:rsidRDefault="008B3B6A" w:rsidP="008B3B6A">
            <w:pPr>
              <w:jc w:val="center"/>
              <w:rPr>
                <w:rFonts w:ascii="Arial" w:hAnsi="Arial" w:cs="Arial"/>
                <w:sz w:val="24"/>
                <w:szCs w:val="24"/>
              </w:rPr>
            </w:pPr>
            <w:r w:rsidRPr="00EB5DC1">
              <w:rPr>
                <w:rFonts w:ascii="Arial" w:hAnsi="Arial" w:cs="Arial"/>
                <w:sz w:val="24"/>
                <w:szCs w:val="24"/>
              </w:rPr>
              <w:t>1.3</w:t>
            </w:r>
          </w:p>
        </w:tc>
        <w:tc>
          <w:tcPr>
            <w:tcW w:w="4464" w:type="dxa"/>
            <w:vAlign w:val="center"/>
          </w:tcPr>
          <w:p w14:paraId="353B36A6" w14:textId="1AC79132" w:rsidR="008B3B6A" w:rsidRPr="00EB5DC1" w:rsidRDefault="008B3B6A" w:rsidP="008B3B6A">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32" w:type="dxa"/>
          </w:tcPr>
          <w:p w14:paraId="3BAC5838" w14:textId="27491AF0" w:rsidR="008B3B6A" w:rsidRPr="00EB5DC1" w:rsidRDefault="008B3B6A" w:rsidP="008B3B6A">
            <w:pPr>
              <w:jc w:val="center"/>
              <w:rPr>
                <w:rFonts w:ascii="Arial" w:hAnsi="Arial" w:cs="Arial"/>
                <w:sz w:val="24"/>
                <w:szCs w:val="24"/>
              </w:rPr>
            </w:pPr>
            <w:r w:rsidRPr="00074F1C">
              <w:t>Yes</w:t>
            </w:r>
          </w:p>
        </w:tc>
        <w:tc>
          <w:tcPr>
            <w:tcW w:w="3739" w:type="dxa"/>
            <w:vAlign w:val="center"/>
          </w:tcPr>
          <w:p w14:paraId="5DC134FC" w14:textId="64E415EE" w:rsidR="008B3B6A" w:rsidRPr="00EB5DC1" w:rsidRDefault="008B3B6A" w:rsidP="008B3B6A">
            <w:pPr>
              <w:jc w:val="center"/>
              <w:rPr>
                <w:rFonts w:ascii="Arial" w:hAnsi="Arial" w:cs="Arial"/>
                <w:sz w:val="24"/>
                <w:szCs w:val="24"/>
              </w:rPr>
            </w:pPr>
            <w:r w:rsidRPr="008B3B6A">
              <w:rPr>
                <w:rFonts w:ascii="Arial" w:hAnsi="Arial" w:cs="Arial"/>
                <w:sz w:val="24"/>
                <w:szCs w:val="24"/>
              </w:rPr>
              <w:t>See policy.</w:t>
            </w:r>
          </w:p>
        </w:tc>
        <w:tc>
          <w:tcPr>
            <w:tcW w:w="3236" w:type="dxa"/>
            <w:vAlign w:val="center"/>
          </w:tcPr>
          <w:p w14:paraId="581A7CD0" w14:textId="77777777" w:rsidR="008B3B6A" w:rsidRPr="00EB5DC1" w:rsidRDefault="008B3B6A" w:rsidP="008B3B6A">
            <w:pPr>
              <w:jc w:val="center"/>
              <w:rPr>
                <w:rFonts w:ascii="Arial" w:hAnsi="Arial" w:cs="Arial"/>
                <w:sz w:val="24"/>
                <w:szCs w:val="24"/>
              </w:rPr>
            </w:pPr>
          </w:p>
        </w:tc>
      </w:tr>
      <w:tr w:rsidR="008B3B6A" w:rsidRPr="00EB5DC1" w14:paraId="3296A97F" w14:textId="77777777" w:rsidTr="008B3B6A">
        <w:tc>
          <w:tcPr>
            <w:tcW w:w="1177" w:type="dxa"/>
            <w:vAlign w:val="center"/>
          </w:tcPr>
          <w:p w14:paraId="6BCE2337" w14:textId="5A2E7FA3" w:rsidR="008B3B6A" w:rsidRPr="00EB5DC1" w:rsidRDefault="008B3B6A" w:rsidP="008B3B6A">
            <w:pPr>
              <w:jc w:val="center"/>
              <w:rPr>
                <w:rFonts w:ascii="Arial" w:hAnsi="Arial" w:cs="Arial"/>
                <w:sz w:val="24"/>
                <w:szCs w:val="24"/>
              </w:rPr>
            </w:pPr>
            <w:r w:rsidRPr="00EB5DC1">
              <w:rPr>
                <w:rFonts w:ascii="Arial" w:hAnsi="Arial" w:cs="Arial"/>
                <w:sz w:val="24"/>
                <w:szCs w:val="24"/>
              </w:rPr>
              <w:t>1.4</w:t>
            </w:r>
          </w:p>
        </w:tc>
        <w:tc>
          <w:tcPr>
            <w:tcW w:w="4464" w:type="dxa"/>
            <w:vAlign w:val="center"/>
          </w:tcPr>
          <w:p w14:paraId="5E29EA04" w14:textId="1C446933" w:rsidR="008B3B6A" w:rsidRPr="00EB5DC1" w:rsidRDefault="008B3B6A" w:rsidP="008B3B6A">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32" w:type="dxa"/>
          </w:tcPr>
          <w:p w14:paraId="0903912B" w14:textId="79BF3A5E" w:rsidR="008B3B6A" w:rsidRPr="00EB5DC1" w:rsidRDefault="00A12923" w:rsidP="00A12923">
            <w:pPr>
              <w:rPr>
                <w:rFonts w:ascii="Arial" w:hAnsi="Arial" w:cs="Arial"/>
                <w:sz w:val="24"/>
                <w:szCs w:val="24"/>
              </w:rPr>
            </w:pPr>
            <w:r>
              <w:rPr>
                <w:rFonts w:ascii="Arial" w:hAnsi="Arial" w:cs="Arial"/>
                <w:sz w:val="24"/>
                <w:szCs w:val="24"/>
              </w:rPr>
              <w:lastRenderedPageBreak/>
              <w:t>No</w:t>
            </w:r>
          </w:p>
        </w:tc>
        <w:tc>
          <w:tcPr>
            <w:tcW w:w="3739" w:type="dxa"/>
            <w:vAlign w:val="center"/>
          </w:tcPr>
          <w:p w14:paraId="68E4DFCE" w14:textId="77777777" w:rsidR="008B3B6A" w:rsidRPr="00EB5DC1" w:rsidRDefault="008B3B6A" w:rsidP="008B3B6A">
            <w:pPr>
              <w:jc w:val="center"/>
              <w:rPr>
                <w:rFonts w:ascii="Arial" w:hAnsi="Arial" w:cs="Arial"/>
                <w:sz w:val="24"/>
                <w:szCs w:val="24"/>
              </w:rPr>
            </w:pPr>
          </w:p>
        </w:tc>
        <w:tc>
          <w:tcPr>
            <w:tcW w:w="3236" w:type="dxa"/>
            <w:vAlign w:val="center"/>
          </w:tcPr>
          <w:p w14:paraId="2F6AE317" w14:textId="6AB77BED" w:rsidR="008B3B6A" w:rsidRPr="00EB5DC1" w:rsidRDefault="00A12923" w:rsidP="008B3B6A">
            <w:pPr>
              <w:jc w:val="center"/>
              <w:rPr>
                <w:rFonts w:ascii="Arial" w:hAnsi="Arial" w:cs="Arial"/>
                <w:sz w:val="24"/>
                <w:szCs w:val="24"/>
              </w:rPr>
            </w:pPr>
            <w:r>
              <w:rPr>
                <w:rFonts w:ascii="Arial" w:hAnsi="Arial" w:cs="Arial"/>
                <w:sz w:val="24"/>
                <w:szCs w:val="24"/>
              </w:rPr>
              <w:t>Policy being amended</w:t>
            </w:r>
          </w:p>
        </w:tc>
      </w:tr>
      <w:tr w:rsidR="00490374" w:rsidRPr="00EB5DC1" w14:paraId="4EC13BF5" w14:textId="77777777" w:rsidTr="008B3B6A">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464"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32" w:type="dxa"/>
            <w:vAlign w:val="center"/>
          </w:tcPr>
          <w:p w14:paraId="3977D24A" w14:textId="7F961E46" w:rsidR="00490374" w:rsidRPr="00EB5DC1" w:rsidRDefault="008B3B6A" w:rsidP="00490374">
            <w:pPr>
              <w:jc w:val="center"/>
              <w:rPr>
                <w:rFonts w:ascii="Arial" w:hAnsi="Arial" w:cs="Arial"/>
                <w:sz w:val="24"/>
                <w:szCs w:val="24"/>
              </w:rPr>
            </w:pPr>
            <w:r>
              <w:rPr>
                <w:rFonts w:ascii="Arial" w:hAnsi="Arial" w:cs="Arial"/>
                <w:sz w:val="24"/>
                <w:szCs w:val="24"/>
              </w:rPr>
              <w:t>Yes</w:t>
            </w:r>
          </w:p>
        </w:tc>
        <w:tc>
          <w:tcPr>
            <w:tcW w:w="3739" w:type="dxa"/>
            <w:vAlign w:val="center"/>
          </w:tcPr>
          <w:p w14:paraId="44CB3CE5" w14:textId="338EDE1B" w:rsidR="00490374" w:rsidRPr="00EB5DC1" w:rsidRDefault="00A12923" w:rsidP="00490374">
            <w:pPr>
              <w:jc w:val="center"/>
              <w:rPr>
                <w:rFonts w:ascii="Arial" w:hAnsi="Arial" w:cs="Arial"/>
                <w:sz w:val="24"/>
                <w:szCs w:val="24"/>
              </w:rPr>
            </w:pPr>
            <w:r>
              <w:rPr>
                <w:rFonts w:ascii="Arial" w:hAnsi="Arial" w:cs="Arial"/>
                <w:sz w:val="24"/>
                <w:szCs w:val="24"/>
              </w:rPr>
              <w:t>See policy</w:t>
            </w:r>
          </w:p>
        </w:tc>
        <w:tc>
          <w:tcPr>
            <w:tcW w:w="3236" w:type="dxa"/>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008B3B6A">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464"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32" w:type="dxa"/>
            <w:vAlign w:val="center"/>
          </w:tcPr>
          <w:p w14:paraId="0A6510E6" w14:textId="08E077CC" w:rsidR="00490374" w:rsidRPr="00EB5DC1" w:rsidRDefault="00A12923" w:rsidP="00490374">
            <w:pPr>
              <w:jc w:val="center"/>
              <w:rPr>
                <w:rFonts w:ascii="Arial" w:hAnsi="Arial" w:cs="Arial"/>
                <w:sz w:val="24"/>
                <w:szCs w:val="24"/>
              </w:rPr>
            </w:pPr>
            <w:r>
              <w:rPr>
                <w:rFonts w:ascii="Arial" w:hAnsi="Arial" w:cs="Arial"/>
                <w:sz w:val="24"/>
                <w:szCs w:val="24"/>
              </w:rPr>
              <w:t xml:space="preserve">Yes </w:t>
            </w:r>
          </w:p>
        </w:tc>
        <w:tc>
          <w:tcPr>
            <w:tcW w:w="3739" w:type="dxa"/>
            <w:vAlign w:val="center"/>
          </w:tcPr>
          <w:p w14:paraId="6245F14A" w14:textId="58463430" w:rsidR="00490374" w:rsidRPr="00EB5DC1" w:rsidRDefault="00A12923" w:rsidP="00490374">
            <w:pPr>
              <w:jc w:val="center"/>
              <w:rPr>
                <w:rFonts w:ascii="Arial" w:hAnsi="Arial" w:cs="Arial"/>
                <w:sz w:val="24"/>
                <w:szCs w:val="24"/>
              </w:rPr>
            </w:pPr>
            <w:r>
              <w:rPr>
                <w:rFonts w:ascii="Arial" w:hAnsi="Arial" w:cs="Arial"/>
                <w:sz w:val="24"/>
                <w:szCs w:val="24"/>
              </w:rPr>
              <w:t xml:space="preserve">Questionnaires </w:t>
            </w:r>
          </w:p>
        </w:tc>
        <w:tc>
          <w:tcPr>
            <w:tcW w:w="3236" w:type="dxa"/>
            <w:vAlign w:val="center"/>
          </w:tcPr>
          <w:p w14:paraId="30468464" w14:textId="1488E734" w:rsidR="00490374" w:rsidRPr="00EB5DC1" w:rsidRDefault="00A12923" w:rsidP="00490374">
            <w:pPr>
              <w:jc w:val="center"/>
              <w:rPr>
                <w:rFonts w:ascii="Arial" w:hAnsi="Arial" w:cs="Arial"/>
                <w:sz w:val="24"/>
                <w:szCs w:val="24"/>
              </w:rPr>
            </w:pPr>
            <w:r>
              <w:rPr>
                <w:rFonts w:ascii="Arial" w:hAnsi="Arial" w:cs="Arial"/>
                <w:sz w:val="24"/>
                <w:szCs w:val="24"/>
              </w:rPr>
              <w:t xml:space="preserve">Anonymous however tenants are made aware of the </w:t>
            </w:r>
            <w:proofErr w:type="gramStart"/>
            <w:r>
              <w:rPr>
                <w:rFonts w:ascii="Arial" w:hAnsi="Arial" w:cs="Arial"/>
                <w:sz w:val="24"/>
                <w:szCs w:val="24"/>
              </w:rPr>
              <w:t>complaints</w:t>
            </w:r>
            <w:proofErr w:type="gramEnd"/>
            <w:r>
              <w:rPr>
                <w:rFonts w:ascii="Arial" w:hAnsi="Arial" w:cs="Arial"/>
                <w:sz w:val="24"/>
                <w:szCs w:val="24"/>
              </w:rPr>
              <w:t xml:space="preserve"> procedure</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2"/>
        <w:gridCol w:w="1332"/>
        <w:gridCol w:w="3748"/>
        <w:gridCol w:w="3239"/>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185EAFEE" w:rsidR="00EB5DC1" w:rsidRPr="00EB5DC1" w:rsidRDefault="00A1292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2FD49C5E" w:rsidR="00EB5DC1" w:rsidRPr="00EB5DC1" w:rsidRDefault="00A12923"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446B964E" w14:textId="62D72185" w:rsidR="00EB5DC1" w:rsidRPr="00EB5DC1" w:rsidRDefault="00A12923" w:rsidP="00140ACF">
            <w:pPr>
              <w:jc w:val="center"/>
              <w:rPr>
                <w:rFonts w:ascii="Arial" w:hAnsi="Arial" w:cs="Arial"/>
                <w:sz w:val="24"/>
                <w:szCs w:val="24"/>
              </w:rPr>
            </w:pPr>
            <w:r>
              <w:rPr>
                <w:rFonts w:ascii="Arial" w:hAnsi="Arial" w:cs="Arial"/>
                <w:sz w:val="24"/>
                <w:szCs w:val="24"/>
              </w:rPr>
              <w:t>Complaints are always accepted unless deemed to be vexatious</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6357A254" w:rsidR="00EB5DC1" w:rsidRPr="00EB5DC1" w:rsidRDefault="00A1292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5832AEBC" w:rsidR="00EB5DC1" w:rsidRPr="00EB5DC1" w:rsidRDefault="00A12923"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2F2CB4E5" w:rsidR="00EB5DC1" w:rsidRPr="00EB5DC1" w:rsidRDefault="00A1292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534B00DA" w:rsidR="00EB5DC1" w:rsidRPr="00EB5DC1" w:rsidRDefault="00A12923"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proofErr w:type="gramStart"/>
            <w:r w:rsidRPr="00677E13">
              <w:t>fairly applied</w:t>
            </w:r>
            <w:proofErr w:type="gramEnd"/>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783BE00B" w:rsidR="00EB5DC1" w:rsidRPr="00EB5DC1" w:rsidRDefault="00A1292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3F5FA41F" w:rsidR="00EB5DC1" w:rsidRPr="00EB5DC1" w:rsidRDefault="00A12923" w:rsidP="00140ACF">
            <w:pPr>
              <w:jc w:val="center"/>
              <w:rPr>
                <w:rFonts w:ascii="Arial" w:hAnsi="Arial" w:cs="Arial"/>
                <w:sz w:val="24"/>
                <w:szCs w:val="24"/>
              </w:rPr>
            </w:pPr>
            <w:r>
              <w:rPr>
                <w:rFonts w:ascii="Arial" w:hAnsi="Arial" w:cs="Arial"/>
                <w:sz w:val="24"/>
                <w:szCs w:val="24"/>
              </w:rPr>
              <w:t xml:space="preserve">See policy </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33CC49EA" w:rsidR="00EB5DC1" w:rsidRPr="00EB5DC1" w:rsidRDefault="00A1292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42BC5808" w:rsidR="00EB5DC1" w:rsidRPr="00EB5DC1" w:rsidRDefault="00A12923" w:rsidP="00140ACF">
            <w:pPr>
              <w:jc w:val="center"/>
              <w:rPr>
                <w:rFonts w:ascii="Arial" w:hAnsi="Arial" w:cs="Arial"/>
                <w:sz w:val="24"/>
                <w:szCs w:val="24"/>
              </w:rPr>
            </w:pPr>
            <w:r>
              <w:rPr>
                <w:rFonts w:ascii="Arial" w:hAnsi="Arial" w:cs="Arial"/>
                <w:sz w:val="24"/>
                <w:szCs w:val="24"/>
              </w:rPr>
              <w:t>See policy and complaints log</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9"/>
        <w:gridCol w:w="1332"/>
        <w:gridCol w:w="3751"/>
        <w:gridCol w:w="3239"/>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4B17E825" w:rsidR="00EB5DC1" w:rsidRPr="00EB5DC1" w:rsidRDefault="00A1292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00F63202" w:rsidR="00EB5DC1" w:rsidRPr="00EB5DC1" w:rsidRDefault="00A12923" w:rsidP="00140ACF">
            <w:pPr>
              <w:jc w:val="center"/>
              <w:rPr>
                <w:rFonts w:ascii="Arial" w:hAnsi="Arial" w:cs="Arial"/>
                <w:sz w:val="24"/>
                <w:szCs w:val="24"/>
              </w:rPr>
            </w:pPr>
            <w:r>
              <w:rPr>
                <w:rFonts w:ascii="Arial" w:hAnsi="Arial" w:cs="Arial"/>
                <w:sz w:val="24"/>
                <w:szCs w:val="24"/>
              </w:rPr>
              <w:t>Complaints via the website, social media, letter, telephone and in person</w:t>
            </w:r>
            <w:r w:rsidR="00735419">
              <w:rPr>
                <w:rFonts w:ascii="Arial" w:hAnsi="Arial" w:cs="Arial"/>
                <w:sz w:val="24"/>
                <w:szCs w:val="24"/>
              </w:rPr>
              <w:t xml:space="preserve">. Large print and other languages </w:t>
            </w: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2A2BE8AC"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1BC518AB" w:rsidR="00EB5DC1" w:rsidRPr="00EB5DC1" w:rsidRDefault="00735419"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7C5C87E9" w14:textId="77777777" w:rsidR="00EB5DC1" w:rsidRPr="00EB5DC1" w:rsidRDefault="00EB5DC1" w:rsidP="00140ACF">
            <w:pPr>
              <w:jc w:val="center"/>
              <w:rPr>
                <w:rFonts w:ascii="Arial" w:hAnsi="Arial" w:cs="Arial"/>
                <w:sz w:val="24"/>
                <w:szCs w:val="24"/>
              </w:rPr>
            </w:pP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705CF7AC"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77777777" w:rsidR="00EB5DC1" w:rsidRPr="00EB5DC1" w:rsidRDefault="00EB5DC1" w:rsidP="00140ACF">
            <w:pPr>
              <w:jc w:val="center"/>
              <w:rPr>
                <w:rFonts w:ascii="Arial" w:hAnsi="Arial" w:cs="Arial"/>
                <w:sz w:val="24"/>
                <w:szCs w:val="24"/>
              </w:rPr>
            </w:pPr>
          </w:p>
        </w:tc>
        <w:tc>
          <w:tcPr>
            <w:tcW w:w="3293" w:type="dxa"/>
            <w:vAlign w:val="center"/>
          </w:tcPr>
          <w:p w14:paraId="13236B63" w14:textId="77777777" w:rsidR="00EB5DC1" w:rsidRPr="00EB5DC1" w:rsidRDefault="00EB5DC1" w:rsidP="00140ACF">
            <w:pPr>
              <w:jc w:val="center"/>
              <w:rPr>
                <w:rFonts w:ascii="Arial" w:hAnsi="Arial" w:cs="Arial"/>
                <w:sz w:val="24"/>
                <w:szCs w:val="24"/>
              </w:rPr>
            </w:pP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 xml:space="preserve">s must make their complaint policy available in a clear and </w:t>
            </w:r>
            <w:r w:rsidRPr="001057D8">
              <w:lastRenderedPageBreak/>
              <w:t>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12C925F8" w:rsidR="00EB5DC1" w:rsidRPr="00EB5DC1" w:rsidRDefault="00735419" w:rsidP="00140AC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17C28B94" w14:textId="127115F0" w:rsidR="00EB5DC1" w:rsidRPr="00EB5DC1" w:rsidRDefault="00735419" w:rsidP="00140ACF">
            <w:pPr>
              <w:jc w:val="center"/>
              <w:rPr>
                <w:rFonts w:ascii="Arial" w:hAnsi="Arial" w:cs="Arial"/>
                <w:sz w:val="24"/>
                <w:szCs w:val="24"/>
              </w:rPr>
            </w:pPr>
            <w:r>
              <w:rPr>
                <w:rFonts w:ascii="Arial" w:hAnsi="Arial" w:cs="Arial"/>
                <w:sz w:val="24"/>
                <w:szCs w:val="24"/>
              </w:rPr>
              <w:t xml:space="preserve">See policy, website and new tenant leaflet </w:t>
            </w: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6316D919"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30CFAB24" w:rsidR="00EB5DC1" w:rsidRPr="00EB5DC1" w:rsidRDefault="0073541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66411764"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1AF9F5CA" w:rsidR="00EB5DC1" w:rsidRPr="00EB5DC1" w:rsidRDefault="0073541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2EC5106C"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5CE9B0DD" w:rsidR="00EB5DC1" w:rsidRPr="00EB5DC1" w:rsidRDefault="00735419" w:rsidP="00140ACF">
            <w:pPr>
              <w:jc w:val="center"/>
              <w:rPr>
                <w:rFonts w:ascii="Arial" w:hAnsi="Arial" w:cs="Arial"/>
                <w:sz w:val="24"/>
                <w:szCs w:val="24"/>
              </w:rPr>
            </w:pPr>
            <w:r>
              <w:rPr>
                <w:rFonts w:ascii="Arial" w:hAnsi="Arial" w:cs="Arial"/>
                <w:sz w:val="24"/>
                <w:szCs w:val="24"/>
              </w:rPr>
              <w:t>New tenant welcome pack</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179B704A"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77777777" w:rsidR="00EB5DC1" w:rsidRPr="00EB5DC1" w:rsidRDefault="00EB5DC1" w:rsidP="00140ACF">
            <w:pPr>
              <w:jc w:val="center"/>
              <w:rPr>
                <w:rFonts w:ascii="Arial" w:hAnsi="Arial" w:cs="Arial"/>
                <w:sz w:val="24"/>
                <w:szCs w:val="24"/>
              </w:rPr>
            </w:pP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416AB179"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77777777" w:rsidR="00EB5DC1" w:rsidRPr="00EB5DC1" w:rsidRDefault="00EB5DC1" w:rsidP="00140ACF">
            <w:pPr>
              <w:jc w:val="center"/>
              <w:rPr>
                <w:rFonts w:ascii="Arial" w:hAnsi="Arial" w:cs="Arial"/>
                <w:sz w:val="24"/>
                <w:szCs w:val="24"/>
              </w:rPr>
            </w:pP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0BD32BCD"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2C88EB22" w:rsidR="00EB5DC1" w:rsidRPr="00EB5DC1" w:rsidRDefault="00735419" w:rsidP="00140ACF">
            <w:pPr>
              <w:jc w:val="center"/>
              <w:rPr>
                <w:rFonts w:ascii="Arial" w:hAnsi="Arial" w:cs="Arial"/>
                <w:sz w:val="24"/>
                <w:szCs w:val="24"/>
              </w:rPr>
            </w:pPr>
            <w:r>
              <w:rPr>
                <w:rFonts w:ascii="Arial" w:hAnsi="Arial" w:cs="Arial"/>
                <w:sz w:val="24"/>
                <w:szCs w:val="24"/>
              </w:rPr>
              <w:t>Training records</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42"/>
        <w:gridCol w:w="1331"/>
        <w:gridCol w:w="3767"/>
        <w:gridCol w:w="3231"/>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7A817848"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662051D0" w:rsidR="00EB5DC1" w:rsidRPr="00EB5DC1" w:rsidRDefault="0073541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641A0B48"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112D80FC" w:rsidR="00EB5DC1" w:rsidRPr="00EB5DC1" w:rsidRDefault="0073541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5CD3DD13" w:rsidR="00EB5DC1"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64773C62" w:rsidR="00EB5DC1" w:rsidRPr="00EB5DC1" w:rsidRDefault="0073541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57F06CA9" w:rsidR="00DF1ED8" w:rsidRPr="00EB5DC1" w:rsidRDefault="0073541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77777777" w:rsidR="00DF1ED8" w:rsidRPr="00EB5DC1" w:rsidRDefault="00DF1ED8" w:rsidP="00140ACF">
            <w:pPr>
              <w:jc w:val="center"/>
              <w:rPr>
                <w:rFonts w:ascii="Arial" w:hAnsi="Arial" w:cs="Arial"/>
                <w:sz w:val="24"/>
                <w:szCs w:val="24"/>
              </w:rPr>
            </w:pP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6EEE2D42" w:rsidR="00DF1ED8"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77777777" w:rsidR="00DF1ED8" w:rsidRPr="00EB5DC1" w:rsidRDefault="00DF1ED8" w:rsidP="00140ACF">
            <w:pPr>
              <w:jc w:val="center"/>
              <w:rPr>
                <w:rFonts w:ascii="Arial" w:hAnsi="Arial" w:cs="Arial"/>
                <w:sz w:val="24"/>
                <w:szCs w:val="24"/>
              </w:rPr>
            </w:pP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1FC17C26" w:rsidR="00DF1ED8"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77777777" w:rsidR="00DF1ED8" w:rsidRPr="00EB5DC1" w:rsidRDefault="00DF1ED8" w:rsidP="00140ACF">
            <w:pPr>
              <w:jc w:val="center"/>
              <w:rPr>
                <w:rFonts w:ascii="Arial" w:hAnsi="Arial" w:cs="Arial"/>
                <w:sz w:val="24"/>
                <w:szCs w:val="24"/>
              </w:rPr>
            </w:pP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656B1AC7" w:rsidR="00DF1ED8"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526C70B6" w:rsidR="00DF1ED8" w:rsidRPr="00EB5DC1" w:rsidRDefault="00735419" w:rsidP="00140ACF">
            <w:pPr>
              <w:jc w:val="center"/>
              <w:rPr>
                <w:rFonts w:ascii="Arial" w:hAnsi="Arial" w:cs="Arial"/>
                <w:sz w:val="24"/>
                <w:szCs w:val="24"/>
              </w:rPr>
            </w:pPr>
            <w:r>
              <w:rPr>
                <w:rFonts w:ascii="Arial" w:hAnsi="Arial" w:cs="Arial"/>
                <w:sz w:val="24"/>
                <w:szCs w:val="24"/>
              </w:rPr>
              <w:t>Response letters</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6AAB4FF9" w:rsidR="00DF1ED8" w:rsidRPr="00EB5DC1" w:rsidRDefault="0073541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473B752A" w:rsidR="00DF1ED8" w:rsidRPr="00EB5DC1" w:rsidRDefault="00735419" w:rsidP="00140ACF">
            <w:pPr>
              <w:jc w:val="center"/>
              <w:rPr>
                <w:rFonts w:ascii="Arial" w:hAnsi="Arial" w:cs="Arial"/>
                <w:sz w:val="24"/>
                <w:szCs w:val="24"/>
              </w:rPr>
            </w:pPr>
            <w:r>
              <w:rPr>
                <w:rFonts w:ascii="Arial" w:hAnsi="Arial" w:cs="Arial"/>
                <w:sz w:val="24"/>
                <w:szCs w:val="24"/>
              </w:rPr>
              <w:t xml:space="preserve">Complaints log and investigation </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3519FCEE" w:rsidR="00DF1ED8"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2829CC19" w:rsidR="00DF1ED8" w:rsidRPr="00EB5DC1" w:rsidRDefault="00735419" w:rsidP="00140ACF">
            <w:pPr>
              <w:jc w:val="center"/>
              <w:rPr>
                <w:rFonts w:ascii="Arial" w:hAnsi="Arial" w:cs="Arial"/>
                <w:sz w:val="24"/>
                <w:szCs w:val="24"/>
              </w:rPr>
            </w:pPr>
            <w:r>
              <w:rPr>
                <w:rFonts w:ascii="Arial" w:hAnsi="Arial" w:cs="Arial"/>
                <w:sz w:val="24"/>
                <w:szCs w:val="24"/>
              </w:rPr>
              <w:t>Acknowledgement letters</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70698BC8" w:rsidR="00DF1ED8"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5979BA35" w:rsidR="00DF1ED8" w:rsidRPr="00EB5DC1" w:rsidRDefault="0073541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78AEA14E" w:rsidR="00DF1ED8"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3EE75D12" w:rsidR="00DF1ED8" w:rsidRPr="00EB5DC1" w:rsidRDefault="0073541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w:t>
            </w:r>
            <w:r>
              <w:rPr>
                <w:rStyle w:val="normaltextrun"/>
                <w:rFonts w:eastAsiaTheme="majorEastAsia"/>
                <w:color w:val="000000"/>
                <w:shd w:val="clear" w:color="auto" w:fill="FFFFFF"/>
              </w:rPr>
              <w:lastRenderedPageBreak/>
              <w:t>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04F5848F" w:rsidR="00DF1ED8" w:rsidRPr="00EB5DC1" w:rsidRDefault="0073541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18E83937" w:rsidR="00DF1ED8" w:rsidRPr="00EB5DC1" w:rsidRDefault="00735419" w:rsidP="00140ACF">
            <w:pPr>
              <w:jc w:val="center"/>
              <w:rPr>
                <w:rFonts w:ascii="Arial" w:hAnsi="Arial" w:cs="Arial"/>
                <w:sz w:val="24"/>
                <w:szCs w:val="24"/>
              </w:rPr>
            </w:pPr>
            <w:r>
              <w:rPr>
                <w:rFonts w:ascii="Arial" w:hAnsi="Arial" w:cs="Arial"/>
                <w:sz w:val="24"/>
                <w:szCs w:val="24"/>
              </w:rPr>
              <w:t>Complaints log</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40DCE328" w:rsidR="00DF1ED8"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44DB8786" w:rsidR="00DF1ED8" w:rsidRPr="00EB5DC1" w:rsidRDefault="00735419" w:rsidP="00140ACF">
            <w:pPr>
              <w:jc w:val="center"/>
              <w:rPr>
                <w:rFonts w:ascii="Arial" w:hAnsi="Arial" w:cs="Arial"/>
                <w:sz w:val="24"/>
                <w:szCs w:val="24"/>
              </w:rPr>
            </w:pPr>
            <w:r>
              <w:rPr>
                <w:rFonts w:ascii="Arial" w:hAnsi="Arial" w:cs="Arial"/>
                <w:sz w:val="24"/>
                <w:szCs w:val="24"/>
              </w:rPr>
              <w:t xml:space="preserve">See policy </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66AAFFBC" w:rsidR="00DF1ED8"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52E9B903" w:rsidR="00DF1ED8" w:rsidRPr="00EB5DC1" w:rsidRDefault="0073541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4E4777A4" w:rsidR="00DF1ED8" w:rsidRPr="00EB5DC1" w:rsidRDefault="0073541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5014F420" w:rsidR="00DF1ED8" w:rsidRPr="00EB5DC1" w:rsidRDefault="00735419" w:rsidP="00140ACF">
            <w:pPr>
              <w:jc w:val="center"/>
              <w:rPr>
                <w:rFonts w:ascii="Arial" w:hAnsi="Arial" w:cs="Arial"/>
                <w:sz w:val="24"/>
                <w:szCs w:val="24"/>
              </w:rPr>
            </w:pPr>
            <w:r>
              <w:rPr>
                <w:rFonts w:ascii="Arial" w:hAnsi="Arial" w:cs="Arial"/>
                <w:sz w:val="24"/>
                <w:szCs w:val="24"/>
              </w:rPr>
              <w:t>Vexatious complaints policy</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4"/>
        <w:gridCol w:w="1332"/>
        <w:gridCol w:w="3746"/>
        <w:gridCol w:w="3239"/>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2FB538D6" w:rsidR="00F51083" w:rsidRPr="00EB5DC1"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646AF2CE" w:rsidR="00F51083" w:rsidRPr="00EB5DC1" w:rsidRDefault="003A435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118EE056" w:rsidR="00F51083" w:rsidRPr="00EB5DC1"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64952CDB" w:rsidR="00F51083" w:rsidRPr="00EB5DC1" w:rsidRDefault="003A435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274AC533" w:rsidR="00F51083" w:rsidRPr="00EB5DC1"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3A18E132" w:rsidR="00F51083" w:rsidRPr="00EB5DC1" w:rsidRDefault="003A435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75E59DBA" w:rsidR="00F51083" w:rsidRPr="00EB5DC1" w:rsidRDefault="003A435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3C76A4BF" w:rsidR="00F51083" w:rsidRPr="00EB5DC1" w:rsidRDefault="003A435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48BE2447" w:rsidR="00F51083" w:rsidRPr="00EB5DC1"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4A2D2CCF" w:rsidR="00F51083" w:rsidRPr="00EB5DC1" w:rsidRDefault="003A4359" w:rsidP="00140ACF">
            <w:pPr>
              <w:jc w:val="center"/>
              <w:rPr>
                <w:rFonts w:ascii="Arial" w:hAnsi="Arial" w:cs="Arial"/>
                <w:sz w:val="24"/>
                <w:szCs w:val="24"/>
              </w:rPr>
            </w:pPr>
            <w:r>
              <w:rPr>
                <w:rFonts w:ascii="Arial" w:hAnsi="Arial" w:cs="Arial"/>
                <w:sz w:val="24"/>
                <w:szCs w:val="24"/>
              </w:rPr>
              <w:t>Response letter</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4E1C15F2" w:rsidR="00F51083" w:rsidRPr="00EB5DC1"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77777777" w:rsidR="00F51083" w:rsidRPr="00EB5DC1" w:rsidRDefault="00F51083" w:rsidP="00140ACF">
            <w:pPr>
              <w:jc w:val="center"/>
              <w:rPr>
                <w:rFonts w:ascii="Arial" w:hAnsi="Arial" w:cs="Arial"/>
                <w:sz w:val="24"/>
                <w:szCs w:val="24"/>
              </w:rPr>
            </w:pP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1CED8F74" w:rsidR="00F51083" w:rsidRPr="00EB5DC1"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77777777" w:rsidR="00F51083" w:rsidRPr="00EB5DC1" w:rsidRDefault="00F51083" w:rsidP="00140ACF">
            <w:pPr>
              <w:jc w:val="center"/>
              <w:rPr>
                <w:rFonts w:ascii="Arial" w:hAnsi="Arial" w:cs="Arial"/>
                <w:sz w:val="24"/>
                <w:szCs w:val="24"/>
              </w:rPr>
            </w:pP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06C12A1F" w:rsidR="00F51083" w:rsidRPr="00EB5DC1" w:rsidRDefault="003A435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77777777" w:rsidR="00F51083" w:rsidRPr="00EB5DC1" w:rsidRDefault="00F51083" w:rsidP="00140ACF">
            <w:pPr>
              <w:jc w:val="center"/>
              <w:rPr>
                <w:rFonts w:ascii="Arial" w:hAnsi="Arial" w:cs="Arial"/>
                <w:sz w:val="24"/>
                <w:szCs w:val="24"/>
              </w:rPr>
            </w:pP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73707729" w:rsidR="00F51083" w:rsidRPr="00EB5DC1"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77777777" w:rsidR="00F51083" w:rsidRPr="00EB5DC1" w:rsidRDefault="00F51083" w:rsidP="00140ACF">
            <w:pPr>
              <w:jc w:val="center"/>
              <w:rPr>
                <w:rFonts w:ascii="Arial" w:hAnsi="Arial" w:cs="Arial"/>
                <w:sz w:val="24"/>
                <w:szCs w:val="24"/>
              </w:rPr>
            </w:pP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4"/>
        <w:gridCol w:w="1332"/>
        <w:gridCol w:w="3746"/>
        <w:gridCol w:w="3239"/>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4602DEC4" w:rsidR="001865E4" w:rsidRPr="007B3F4C"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39F6EF8D" w:rsidR="001865E4" w:rsidRPr="007B3F4C" w:rsidRDefault="003A4359" w:rsidP="00140ACF">
            <w:pPr>
              <w:jc w:val="center"/>
              <w:rPr>
                <w:rFonts w:ascii="Arial" w:hAnsi="Arial" w:cs="Arial"/>
                <w:sz w:val="24"/>
                <w:szCs w:val="24"/>
              </w:rPr>
            </w:pPr>
            <w:r>
              <w:rPr>
                <w:rFonts w:ascii="Arial" w:hAnsi="Arial" w:cs="Arial"/>
                <w:sz w:val="24"/>
                <w:szCs w:val="24"/>
              </w:rPr>
              <w:t xml:space="preserve">See policy </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0A4DC942" w:rsidR="001865E4" w:rsidRPr="007B3F4C" w:rsidRDefault="003A435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DF155A" w14:textId="53A8CAA3" w:rsidR="001865E4" w:rsidRPr="007B3F4C" w:rsidRDefault="003A435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4D461A28" w:rsidR="001865E4"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13C7DF8A" w:rsidR="001865E4" w:rsidRPr="005555E0" w:rsidRDefault="003A4359" w:rsidP="00140ACF">
            <w:pPr>
              <w:jc w:val="center"/>
              <w:rPr>
                <w:rFonts w:ascii="Arial" w:hAnsi="Arial" w:cs="Arial"/>
                <w:sz w:val="24"/>
                <w:szCs w:val="24"/>
              </w:rPr>
            </w:pPr>
            <w:r>
              <w:rPr>
                <w:rFonts w:ascii="Arial" w:hAnsi="Arial" w:cs="Arial"/>
                <w:sz w:val="24"/>
                <w:szCs w:val="24"/>
              </w:rPr>
              <w:t>See policy</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71D707BA" w:rsidR="001865E4"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77777777" w:rsidR="001865E4" w:rsidRPr="005555E0" w:rsidRDefault="001865E4" w:rsidP="00140ACF">
            <w:pPr>
              <w:jc w:val="center"/>
              <w:rPr>
                <w:rFonts w:ascii="Arial" w:hAnsi="Arial" w:cs="Arial"/>
                <w:sz w:val="24"/>
                <w:szCs w:val="24"/>
              </w:rPr>
            </w:pP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66C4A5B9" w:rsidR="001865E4"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77777777" w:rsidR="001865E4" w:rsidRPr="005555E0" w:rsidRDefault="001865E4" w:rsidP="00140ACF">
            <w:pPr>
              <w:jc w:val="center"/>
              <w:rPr>
                <w:rFonts w:ascii="Arial" w:hAnsi="Arial" w:cs="Arial"/>
                <w:sz w:val="24"/>
                <w:szCs w:val="24"/>
              </w:rPr>
            </w:pP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48423B7D" w:rsidR="001865E4"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77777777" w:rsidR="001865E4" w:rsidRPr="005555E0" w:rsidRDefault="001865E4" w:rsidP="00140ACF">
            <w:pPr>
              <w:jc w:val="center"/>
              <w:rPr>
                <w:rFonts w:ascii="Arial" w:hAnsi="Arial" w:cs="Arial"/>
                <w:sz w:val="24"/>
                <w:szCs w:val="24"/>
              </w:rPr>
            </w:pP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675061E9" w:rsidR="001865E4"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73ED0279" w:rsidR="001865E4" w:rsidRPr="005555E0" w:rsidRDefault="003A4359" w:rsidP="00140ACF">
            <w:pPr>
              <w:jc w:val="center"/>
              <w:rPr>
                <w:rFonts w:ascii="Arial" w:hAnsi="Arial" w:cs="Arial"/>
                <w:sz w:val="24"/>
                <w:szCs w:val="24"/>
              </w:rPr>
            </w:pPr>
            <w:r>
              <w:rPr>
                <w:rFonts w:ascii="Arial" w:hAnsi="Arial" w:cs="Arial"/>
                <w:sz w:val="24"/>
                <w:szCs w:val="24"/>
              </w:rPr>
              <w:t>letters</w:t>
            </w: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3F9A981B" w:rsidR="001865E4" w:rsidRPr="005555E0" w:rsidRDefault="003A435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77777777" w:rsidR="001865E4" w:rsidRPr="005555E0" w:rsidRDefault="001865E4" w:rsidP="00140ACF">
            <w:pPr>
              <w:jc w:val="center"/>
              <w:rPr>
                <w:rFonts w:ascii="Arial" w:hAnsi="Arial" w:cs="Arial"/>
                <w:sz w:val="24"/>
                <w:szCs w:val="24"/>
              </w:rPr>
            </w:pP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6A760382" w:rsidR="001865E4"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55639160" w:rsidR="001865E4" w:rsidRPr="005555E0" w:rsidRDefault="003A4359" w:rsidP="00140ACF">
            <w:pPr>
              <w:jc w:val="center"/>
              <w:rPr>
                <w:rFonts w:ascii="Arial" w:hAnsi="Arial" w:cs="Arial"/>
                <w:sz w:val="24"/>
                <w:szCs w:val="24"/>
              </w:rPr>
            </w:pPr>
            <w:r>
              <w:rPr>
                <w:rFonts w:ascii="Arial" w:hAnsi="Arial" w:cs="Arial"/>
                <w:sz w:val="24"/>
                <w:szCs w:val="24"/>
              </w:rPr>
              <w:t>Response letters</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78A4379D" w:rsidR="001865E4"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22FAD251" w:rsidR="001865E4" w:rsidRPr="005555E0" w:rsidRDefault="003A4359" w:rsidP="00140ACF">
            <w:pPr>
              <w:jc w:val="center"/>
              <w:rPr>
                <w:rFonts w:ascii="Arial" w:hAnsi="Arial" w:cs="Arial"/>
                <w:sz w:val="24"/>
                <w:szCs w:val="24"/>
              </w:rPr>
            </w:pPr>
            <w:r>
              <w:rPr>
                <w:rFonts w:ascii="Arial" w:hAnsi="Arial" w:cs="Arial"/>
                <w:sz w:val="24"/>
                <w:szCs w:val="24"/>
              </w:rPr>
              <w:t>Response letters</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14A32ADE" w:rsidR="001865E4"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77777777" w:rsidR="001865E4" w:rsidRPr="005555E0" w:rsidRDefault="001865E4" w:rsidP="00140ACF">
            <w:pPr>
              <w:jc w:val="center"/>
              <w:rPr>
                <w:rFonts w:ascii="Arial" w:hAnsi="Arial" w:cs="Arial"/>
                <w:sz w:val="24"/>
                <w:szCs w:val="24"/>
              </w:rPr>
            </w:pP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496156FF" w:rsidR="005555E0" w:rsidRPr="007B3F4C"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77777777" w:rsidR="005555E0" w:rsidRPr="007B3F4C" w:rsidRDefault="005555E0" w:rsidP="00140ACF">
            <w:pPr>
              <w:jc w:val="center"/>
              <w:rPr>
                <w:rFonts w:ascii="Arial" w:hAnsi="Arial" w:cs="Arial"/>
                <w:sz w:val="24"/>
                <w:szCs w:val="24"/>
              </w:rPr>
            </w:pP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5D608A9E" w:rsidR="005555E0" w:rsidRPr="007B3F4C"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77777777" w:rsidR="005555E0" w:rsidRPr="007B3F4C" w:rsidRDefault="005555E0" w:rsidP="00140ACF">
            <w:pPr>
              <w:jc w:val="center"/>
              <w:rPr>
                <w:rFonts w:ascii="Arial" w:hAnsi="Arial" w:cs="Arial"/>
                <w:sz w:val="24"/>
                <w:szCs w:val="24"/>
              </w:rPr>
            </w:pP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1DD0DF7E" w:rsidR="005555E0"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99895F" w14:textId="77777777" w:rsidR="005555E0" w:rsidRPr="005555E0" w:rsidRDefault="005555E0" w:rsidP="00140ACF">
            <w:pPr>
              <w:jc w:val="center"/>
              <w:rPr>
                <w:rFonts w:ascii="Arial" w:hAnsi="Arial" w:cs="Arial"/>
                <w:sz w:val="24"/>
                <w:szCs w:val="24"/>
              </w:rPr>
            </w:pP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64C3AFB6" w:rsidR="005555E0" w:rsidRPr="005555E0" w:rsidRDefault="003A435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77777777" w:rsidR="005555E0" w:rsidRPr="005555E0" w:rsidRDefault="005555E0" w:rsidP="00140ACF">
            <w:pPr>
              <w:jc w:val="center"/>
              <w:rPr>
                <w:rFonts w:ascii="Arial" w:hAnsi="Arial" w:cs="Arial"/>
                <w:sz w:val="24"/>
                <w:szCs w:val="24"/>
              </w:rPr>
            </w:pP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53"/>
        <w:gridCol w:w="1332"/>
        <w:gridCol w:w="3746"/>
        <w:gridCol w:w="3240"/>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474AAE3B" w:rsidR="00FA19C8" w:rsidRPr="007B3F4C"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77777777" w:rsidR="00FA19C8" w:rsidRPr="007B3F4C" w:rsidRDefault="00FA19C8" w:rsidP="00140ACF">
            <w:pPr>
              <w:jc w:val="center"/>
              <w:rPr>
                <w:rFonts w:ascii="Arial" w:hAnsi="Arial" w:cs="Arial"/>
                <w:sz w:val="24"/>
                <w:szCs w:val="24"/>
              </w:rPr>
            </w:pPr>
          </w:p>
        </w:tc>
        <w:tc>
          <w:tcPr>
            <w:tcW w:w="3293"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02049C6B" w:rsidR="00FA19C8" w:rsidRPr="007B3F4C"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1D47E2E8" w:rsidR="00FA19C8" w:rsidRPr="007B3F4C" w:rsidRDefault="003059E1" w:rsidP="00140ACF">
            <w:pPr>
              <w:jc w:val="center"/>
              <w:rPr>
                <w:rFonts w:ascii="Arial" w:hAnsi="Arial" w:cs="Arial"/>
                <w:sz w:val="24"/>
                <w:szCs w:val="24"/>
              </w:rPr>
            </w:pPr>
            <w:r>
              <w:rPr>
                <w:rFonts w:ascii="Arial" w:hAnsi="Arial" w:cs="Arial"/>
                <w:sz w:val="24"/>
                <w:szCs w:val="24"/>
              </w:rPr>
              <w:t xml:space="preserve">6 monthly board meetings </w:t>
            </w:r>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5C333706" w:rsidR="00FA19C8" w:rsidRPr="005555E0"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77777777" w:rsidR="00FA19C8" w:rsidRPr="005555E0" w:rsidRDefault="00FA19C8" w:rsidP="00140ACF">
            <w:pPr>
              <w:jc w:val="center"/>
              <w:rPr>
                <w:rFonts w:ascii="Arial" w:hAnsi="Arial" w:cs="Arial"/>
                <w:sz w:val="24"/>
                <w:szCs w:val="24"/>
              </w:rPr>
            </w:pP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6D56F1E4" w:rsidR="00FA19C8" w:rsidRPr="005555E0"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7777777" w:rsidR="00FA19C8" w:rsidRPr="005555E0" w:rsidRDefault="00FA19C8" w:rsidP="00140ACF">
            <w:pPr>
              <w:jc w:val="center"/>
              <w:rPr>
                <w:rFonts w:ascii="Arial" w:hAnsi="Arial" w:cs="Arial"/>
                <w:sz w:val="24"/>
                <w:szCs w:val="24"/>
              </w:rPr>
            </w:pP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2737E750" w:rsidR="00FA19C8" w:rsidRPr="005555E0"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77777777" w:rsidR="00FA19C8" w:rsidRPr="005555E0" w:rsidRDefault="00FA19C8" w:rsidP="00140ACF">
            <w:pPr>
              <w:jc w:val="center"/>
              <w:rPr>
                <w:rFonts w:ascii="Arial" w:hAnsi="Arial" w:cs="Arial"/>
                <w:sz w:val="24"/>
                <w:szCs w:val="24"/>
              </w:rPr>
            </w:pP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7"/>
        <w:gridCol w:w="1332"/>
        <w:gridCol w:w="3744"/>
        <w:gridCol w:w="3238"/>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0CBC4F55" w:rsidR="0051227F" w:rsidRPr="007B3F4C"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77777777" w:rsidR="0051227F" w:rsidRPr="007B3F4C" w:rsidRDefault="0051227F" w:rsidP="00140ACF">
            <w:pPr>
              <w:jc w:val="center"/>
              <w:rPr>
                <w:rFonts w:ascii="Arial" w:hAnsi="Arial" w:cs="Arial"/>
                <w:sz w:val="24"/>
                <w:szCs w:val="24"/>
              </w:rPr>
            </w:pP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21296BE" w:rsidR="0051227F" w:rsidRPr="007B3F4C"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77777777" w:rsidR="0051227F" w:rsidRPr="007B3F4C" w:rsidRDefault="0051227F" w:rsidP="00140ACF">
            <w:pPr>
              <w:jc w:val="center"/>
              <w:rPr>
                <w:rFonts w:ascii="Arial" w:hAnsi="Arial" w:cs="Arial"/>
                <w:sz w:val="24"/>
                <w:szCs w:val="24"/>
              </w:rPr>
            </w:pP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513BB859" w:rsidR="0051227F" w:rsidRPr="005555E0"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23AE289B" w:rsidR="0051227F" w:rsidRPr="005555E0" w:rsidRDefault="003059E1" w:rsidP="00140ACF">
            <w:pPr>
              <w:jc w:val="center"/>
              <w:rPr>
                <w:rFonts w:ascii="Arial" w:hAnsi="Arial" w:cs="Arial"/>
                <w:sz w:val="24"/>
                <w:szCs w:val="24"/>
              </w:rPr>
            </w:pPr>
            <w:r>
              <w:rPr>
                <w:rFonts w:ascii="Arial" w:hAnsi="Arial" w:cs="Arial"/>
                <w:sz w:val="24"/>
                <w:szCs w:val="24"/>
              </w:rPr>
              <w:t xml:space="preserve">Board meetings, tenant forums, house meetings </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38F13162" w:rsidR="0051227F" w:rsidRPr="005555E0"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77777777" w:rsidR="0051227F" w:rsidRPr="005555E0" w:rsidRDefault="0051227F" w:rsidP="00140ACF">
            <w:pPr>
              <w:jc w:val="center"/>
              <w:rPr>
                <w:rFonts w:ascii="Arial" w:hAnsi="Arial" w:cs="Arial"/>
                <w:sz w:val="24"/>
                <w:szCs w:val="24"/>
              </w:rPr>
            </w:pP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472E7A6A" w:rsidR="0051227F" w:rsidRPr="005555E0"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77777777" w:rsidR="0051227F" w:rsidRPr="005555E0" w:rsidRDefault="0051227F" w:rsidP="00140ACF">
            <w:pPr>
              <w:jc w:val="center"/>
              <w:rPr>
                <w:rFonts w:ascii="Arial" w:hAnsi="Arial" w:cs="Arial"/>
                <w:sz w:val="24"/>
                <w:szCs w:val="24"/>
              </w:rPr>
            </w:pP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7AB6E9D7" w:rsidR="0051227F" w:rsidRPr="005555E0"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77777777" w:rsidR="0051227F" w:rsidRPr="005555E0" w:rsidRDefault="0051227F" w:rsidP="00140ACF">
            <w:pPr>
              <w:jc w:val="center"/>
              <w:rPr>
                <w:rFonts w:ascii="Arial" w:hAnsi="Arial" w:cs="Arial"/>
                <w:sz w:val="24"/>
                <w:szCs w:val="24"/>
              </w:rPr>
            </w:pP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48298C15" w:rsidR="0051227F" w:rsidRPr="005555E0" w:rsidRDefault="003059E1"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77777777" w:rsidR="0051227F" w:rsidRPr="005555E0" w:rsidRDefault="0051227F" w:rsidP="00140ACF">
            <w:pPr>
              <w:jc w:val="center"/>
              <w:rPr>
                <w:rFonts w:ascii="Arial" w:hAnsi="Arial" w:cs="Arial"/>
                <w:sz w:val="24"/>
                <w:szCs w:val="24"/>
              </w:rPr>
            </w:pP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34D46391" w:rsidR="0051227F" w:rsidRPr="005555E0" w:rsidRDefault="003059E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77777777" w:rsidR="0051227F" w:rsidRPr="005555E0" w:rsidRDefault="0051227F" w:rsidP="00140ACF">
            <w:pPr>
              <w:jc w:val="center"/>
              <w:rPr>
                <w:rFonts w:ascii="Arial" w:hAnsi="Arial" w:cs="Arial"/>
                <w:sz w:val="24"/>
                <w:szCs w:val="24"/>
              </w:rPr>
            </w:pP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1865E4"/>
    <w:rsid w:val="001E1734"/>
    <w:rsid w:val="002B4327"/>
    <w:rsid w:val="003059E1"/>
    <w:rsid w:val="003A4359"/>
    <w:rsid w:val="003B350E"/>
    <w:rsid w:val="00490374"/>
    <w:rsid w:val="004C1AE1"/>
    <w:rsid w:val="004C60FB"/>
    <w:rsid w:val="0051227F"/>
    <w:rsid w:val="005555E0"/>
    <w:rsid w:val="00694160"/>
    <w:rsid w:val="006C0F91"/>
    <w:rsid w:val="00735419"/>
    <w:rsid w:val="007723F2"/>
    <w:rsid w:val="007B2FFC"/>
    <w:rsid w:val="007B3F4C"/>
    <w:rsid w:val="008151C6"/>
    <w:rsid w:val="008B3B6A"/>
    <w:rsid w:val="009050BF"/>
    <w:rsid w:val="00913B03"/>
    <w:rsid w:val="0092234E"/>
    <w:rsid w:val="00A12923"/>
    <w:rsid w:val="00A35EB8"/>
    <w:rsid w:val="00AD70AF"/>
    <w:rsid w:val="00B95518"/>
    <w:rsid w:val="00C12B5C"/>
    <w:rsid w:val="00DC2403"/>
    <w:rsid w:val="00DF1ED8"/>
    <w:rsid w:val="00E7080C"/>
    <w:rsid w:val="00EB5DC1"/>
    <w:rsid w:val="00F26285"/>
    <w:rsid w:val="00F51083"/>
    <w:rsid w:val="00F6720A"/>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Kay Mutch</cp:lastModifiedBy>
  <cp:revision>2</cp:revision>
  <dcterms:created xsi:type="dcterms:W3CDTF">2024-10-08T09:53:00Z</dcterms:created>
  <dcterms:modified xsi:type="dcterms:W3CDTF">2024-10-08T09:53:00Z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